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DA93E" w14:textId="2D7BAC84" w:rsidR="005551FE" w:rsidRPr="009B345C" w:rsidRDefault="005551FE" w:rsidP="005551FE">
      <w:pPr>
        <w:rPr>
          <w:color w:val="993366"/>
          <w:sz w:val="44"/>
          <w:szCs w:val="44"/>
        </w:rPr>
      </w:pPr>
      <w:r w:rsidRPr="009B345C">
        <w:rPr>
          <w:color w:val="993366"/>
          <w:sz w:val="44"/>
          <w:szCs w:val="44"/>
        </w:rPr>
        <w:t>Cumbria Office of Police</w:t>
      </w:r>
      <w:r w:rsidR="00671116">
        <w:rPr>
          <w:color w:val="993366"/>
          <w:sz w:val="44"/>
          <w:szCs w:val="44"/>
        </w:rPr>
        <w:t xml:space="preserve"> Fire</w:t>
      </w:r>
      <w:r w:rsidRPr="009B345C">
        <w:rPr>
          <w:color w:val="993366"/>
          <w:sz w:val="44"/>
          <w:szCs w:val="44"/>
        </w:rPr>
        <w:t xml:space="preserve"> and Crime Commissioner</w:t>
      </w:r>
    </w:p>
    <w:p w14:paraId="4A927F06" w14:textId="5A3F225C" w:rsidR="005551FE" w:rsidRDefault="005551FE" w:rsidP="005551FE">
      <w:pPr>
        <w:rPr>
          <w:b/>
        </w:rPr>
      </w:pPr>
      <w:r w:rsidRPr="005118E2">
        <w:rPr>
          <w:b/>
        </w:rPr>
        <w:t>Cumbria Police</w:t>
      </w:r>
      <w:r w:rsidR="00671116">
        <w:rPr>
          <w:b/>
        </w:rPr>
        <w:t xml:space="preserve"> Fire</w:t>
      </w:r>
      <w:r w:rsidRPr="005118E2">
        <w:rPr>
          <w:b/>
        </w:rPr>
        <w:t xml:space="preserve"> and Crime Commissioner (P</w:t>
      </w:r>
      <w:r w:rsidR="00671116">
        <w:rPr>
          <w:b/>
        </w:rPr>
        <w:t>F</w:t>
      </w:r>
      <w:r w:rsidRPr="005118E2">
        <w:rPr>
          <w:b/>
        </w:rPr>
        <w:t>CC) response to inspections of Cumbria Constabulary published by Her Majesty’s Inspectorate of Constabulary and Fire and Rescue Services (HMICFRS)</w:t>
      </w:r>
    </w:p>
    <w:p w14:paraId="711FD84D" w14:textId="3DC73AC1" w:rsidR="005551FE" w:rsidRPr="000D585A" w:rsidRDefault="005551FE" w:rsidP="005551FE">
      <w:pPr>
        <w:rPr>
          <w:i/>
        </w:rPr>
      </w:pPr>
      <w:r w:rsidRPr="000D585A">
        <w:rPr>
          <w:i/>
        </w:rPr>
        <w:t xml:space="preserve">Section 33 of the Police Act 1996 (as amended by section 37 of the Policing and Crime Act 2017) requires local policing bodies to respond to recommendations in inspectors reports within 56 days. </w:t>
      </w:r>
    </w:p>
    <w:tbl>
      <w:tblPr>
        <w:tblStyle w:val="TableGrid"/>
        <w:tblW w:w="9067" w:type="dxa"/>
        <w:tblLook w:val="04A0" w:firstRow="1" w:lastRow="0" w:firstColumn="1" w:lastColumn="0" w:noHBand="0" w:noVBand="1"/>
      </w:tblPr>
      <w:tblGrid>
        <w:gridCol w:w="4508"/>
        <w:gridCol w:w="4559"/>
      </w:tblGrid>
      <w:tr w:rsidR="005551FE" w14:paraId="76A9A5A5" w14:textId="77777777" w:rsidTr="00490B78">
        <w:tc>
          <w:tcPr>
            <w:tcW w:w="4508" w:type="dxa"/>
            <w:tcBorders>
              <w:bottom w:val="nil"/>
            </w:tcBorders>
          </w:tcPr>
          <w:p w14:paraId="6DB9FAFB" w14:textId="77777777" w:rsidR="005551FE" w:rsidRPr="00F7424B" w:rsidRDefault="005551FE" w:rsidP="003B0E20">
            <w:pPr>
              <w:rPr>
                <w:b/>
              </w:rPr>
            </w:pPr>
            <w:r w:rsidRPr="00F7424B">
              <w:rPr>
                <w:b/>
              </w:rPr>
              <w:t xml:space="preserve">Inspection Title: </w:t>
            </w:r>
          </w:p>
        </w:tc>
        <w:tc>
          <w:tcPr>
            <w:tcW w:w="4559" w:type="dxa"/>
            <w:tcBorders>
              <w:bottom w:val="nil"/>
            </w:tcBorders>
          </w:tcPr>
          <w:p w14:paraId="1111F575" w14:textId="1B3E6D9A" w:rsidR="000D5141" w:rsidRDefault="00FC0AAC" w:rsidP="000D5141">
            <w:pPr>
              <w:pStyle w:val="Heading3"/>
              <w:shd w:val="clear" w:color="auto" w:fill="FFFFFF"/>
              <w:spacing w:before="0" w:beforeAutospacing="0" w:after="24" w:afterAutospacing="0"/>
              <w:rPr>
                <w:rFonts w:ascii="Raleway" w:hAnsi="Raleway"/>
                <w:color w:val="555555"/>
                <w:sz w:val="36"/>
                <w:szCs w:val="36"/>
              </w:rPr>
            </w:pPr>
            <w:r w:rsidRPr="000E7973">
              <w:rPr>
                <w:rFonts w:asciiTheme="minorHAnsi" w:hAnsiTheme="minorHAnsi" w:cstheme="minorHAnsi"/>
                <w:b w:val="0"/>
                <w:bCs w:val="0"/>
                <w:sz w:val="22"/>
                <w:szCs w:val="22"/>
              </w:rPr>
              <w:t>#</w:t>
            </w:r>
            <w:r w:rsidR="00490B78" w:rsidRPr="000E7973">
              <w:rPr>
                <w:rFonts w:asciiTheme="minorHAnsi" w:hAnsiTheme="minorHAnsi" w:cstheme="minorHAnsi"/>
                <w:b w:val="0"/>
                <w:bCs w:val="0"/>
                <w:sz w:val="22"/>
                <w:szCs w:val="22"/>
              </w:rPr>
              <w:t>28</w:t>
            </w:r>
            <w:r w:rsidR="000D5141">
              <w:rPr>
                <w:rFonts w:asciiTheme="minorHAnsi" w:hAnsiTheme="minorHAnsi" w:cstheme="minorHAnsi"/>
                <w:b w:val="0"/>
                <w:bCs w:val="0"/>
                <w:sz w:val="22"/>
                <w:szCs w:val="22"/>
              </w:rPr>
              <w:t>325</w:t>
            </w:r>
            <w:r w:rsidR="00490B78" w:rsidRPr="000E7973">
              <w:rPr>
                <w:rFonts w:asciiTheme="minorHAnsi" w:hAnsiTheme="minorHAnsi" w:cstheme="minorHAnsi"/>
                <w:b w:val="0"/>
                <w:bCs w:val="0"/>
                <w:sz w:val="22"/>
                <w:szCs w:val="22"/>
              </w:rPr>
              <w:t xml:space="preserve"> </w:t>
            </w:r>
            <w:r w:rsidR="000D5141">
              <w:rPr>
                <w:rFonts w:asciiTheme="minorHAnsi" w:hAnsiTheme="minorHAnsi" w:cstheme="minorHAnsi"/>
                <w:b w:val="0"/>
                <w:bCs w:val="0"/>
                <w:sz w:val="22"/>
                <w:szCs w:val="22"/>
              </w:rPr>
              <w:t xml:space="preserve">- </w:t>
            </w:r>
            <w:r w:rsidR="000D5141" w:rsidRPr="000D5141">
              <w:rPr>
                <w:rFonts w:asciiTheme="minorHAnsi" w:hAnsiTheme="minorHAnsi" w:cstheme="minorHAnsi"/>
                <w:b w:val="0"/>
                <w:bCs w:val="0"/>
                <w:sz w:val="22"/>
                <w:szCs w:val="22"/>
              </w:rPr>
              <w:t>An inspection of how effective police forces are in the deployment of firearms.</w:t>
            </w:r>
          </w:p>
          <w:p w14:paraId="12DE5683" w14:textId="7902551A" w:rsidR="005551FE" w:rsidRPr="000E7973" w:rsidRDefault="005551FE" w:rsidP="000D5141">
            <w:pPr>
              <w:pStyle w:val="Heading3"/>
              <w:shd w:val="clear" w:color="auto" w:fill="FFFFFF"/>
              <w:spacing w:before="0" w:beforeAutospacing="0" w:after="24" w:afterAutospacing="0"/>
              <w:rPr>
                <w:rFonts w:cstheme="minorHAnsi"/>
              </w:rPr>
            </w:pPr>
          </w:p>
        </w:tc>
      </w:tr>
      <w:tr w:rsidR="005551FE" w14:paraId="5758D4F5" w14:textId="77777777" w:rsidTr="00490B78">
        <w:tc>
          <w:tcPr>
            <w:tcW w:w="4508" w:type="dxa"/>
            <w:tcBorders>
              <w:top w:val="nil"/>
            </w:tcBorders>
          </w:tcPr>
          <w:p w14:paraId="6544A4C6" w14:textId="77777777" w:rsidR="005551FE" w:rsidRPr="00F7424B" w:rsidRDefault="005551FE" w:rsidP="003B0E20">
            <w:pPr>
              <w:rPr>
                <w:b/>
              </w:rPr>
            </w:pPr>
            <w:r w:rsidRPr="00F7424B">
              <w:rPr>
                <w:b/>
              </w:rPr>
              <w:t>Date Published:</w:t>
            </w:r>
          </w:p>
        </w:tc>
        <w:tc>
          <w:tcPr>
            <w:tcW w:w="4559" w:type="dxa"/>
            <w:tcBorders>
              <w:top w:val="nil"/>
            </w:tcBorders>
          </w:tcPr>
          <w:p w14:paraId="15722742" w14:textId="4B91812D" w:rsidR="005551FE" w:rsidRPr="000E7973" w:rsidRDefault="000D5141" w:rsidP="003B0E20">
            <w:r>
              <w:t>11</w:t>
            </w:r>
            <w:r w:rsidR="000E7973" w:rsidRPr="000E7973">
              <w:t>/07/2023</w:t>
            </w:r>
          </w:p>
        </w:tc>
      </w:tr>
      <w:tr w:rsidR="005551FE" w14:paraId="471109F3" w14:textId="77777777" w:rsidTr="00490B78">
        <w:tc>
          <w:tcPr>
            <w:tcW w:w="4508" w:type="dxa"/>
          </w:tcPr>
          <w:p w14:paraId="05EEADDF" w14:textId="77777777" w:rsidR="005551FE" w:rsidRPr="00F7424B" w:rsidRDefault="005551FE" w:rsidP="003B0E20">
            <w:pPr>
              <w:rPr>
                <w:b/>
              </w:rPr>
            </w:pPr>
            <w:r w:rsidRPr="00F7424B">
              <w:rPr>
                <w:b/>
              </w:rPr>
              <w:t>Type of Inspection:</w:t>
            </w:r>
          </w:p>
        </w:tc>
        <w:tc>
          <w:tcPr>
            <w:tcW w:w="4559" w:type="dxa"/>
          </w:tcPr>
          <w:p w14:paraId="309108F2" w14:textId="22359530" w:rsidR="005551FE" w:rsidRDefault="006F130E" w:rsidP="003B0E20">
            <w:r>
              <w:t xml:space="preserve">National Inspection </w:t>
            </w:r>
          </w:p>
        </w:tc>
      </w:tr>
      <w:tr w:rsidR="005551FE" w:rsidRPr="00F7424B" w14:paraId="62D7B849" w14:textId="77777777" w:rsidTr="00490B78">
        <w:tc>
          <w:tcPr>
            <w:tcW w:w="9067" w:type="dxa"/>
            <w:gridSpan w:val="2"/>
          </w:tcPr>
          <w:p w14:paraId="73B7878A" w14:textId="77777777" w:rsidR="005551FE" w:rsidRPr="00F7424B" w:rsidRDefault="005551FE" w:rsidP="003B0E20">
            <w:pPr>
              <w:rPr>
                <w:b/>
              </w:rPr>
            </w:pPr>
            <w:r w:rsidRPr="00F7424B">
              <w:rPr>
                <w:b/>
              </w:rPr>
              <w:t xml:space="preserve">Key Findings </w:t>
            </w:r>
          </w:p>
        </w:tc>
      </w:tr>
      <w:tr w:rsidR="001342C3" w:rsidRPr="00F7424B" w14:paraId="5A71E267" w14:textId="77777777" w:rsidTr="00490B78">
        <w:tc>
          <w:tcPr>
            <w:tcW w:w="9067" w:type="dxa"/>
            <w:gridSpan w:val="2"/>
          </w:tcPr>
          <w:p w14:paraId="61498D17" w14:textId="77777777" w:rsidR="000D5141" w:rsidRPr="000D5141" w:rsidRDefault="000D5141" w:rsidP="000D5141">
            <w:pPr>
              <w:pStyle w:val="NormalWeb"/>
              <w:rPr>
                <w:rFonts w:asciiTheme="minorHAnsi" w:hAnsiTheme="minorHAnsi" w:cstheme="minorHAnsi"/>
                <w:sz w:val="22"/>
                <w:szCs w:val="22"/>
              </w:rPr>
            </w:pPr>
            <w:r w:rsidRPr="000D5141">
              <w:rPr>
                <w:rFonts w:asciiTheme="minorHAnsi" w:hAnsiTheme="minorHAnsi" w:cstheme="minorHAnsi"/>
                <w:sz w:val="22"/>
                <w:szCs w:val="22"/>
              </w:rPr>
              <w:t>In this inspection we examined how effective police forces are in the deployment of firearms, including specialist munitions. We did this by answering the following questions:</w:t>
            </w:r>
          </w:p>
          <w:p w14:paraId="59C40445" w14:textId="6CC69A7D" w:rsidR="000D5141" w:rsidRPr="000D5141" w:rsidRDefault="000D5141" w:rsidP="000D5141">
            <w:pPr>
              <w:pStyle w:val="NormalWeb"/>
              <w:rPr>
                <w:rFonts w:asciiTheme="minorHAnsi" w:hAnsiTheme="minorHAnsi" w:cstheme="minorHAnsi"/>
                <w:sz w:val="22"/>
                <w:szCs w:val="22"/>
              </w:rPr>
            </w:pPr>
            <w:r w:rsidRPr="000D5141">
              <w:rPr>
                <w:rFonts w:asciiTheme="minorHAnsi" w:hAnsiTheme="minorHAnsi" w:cstheme="minorHAnsi"/>
                <w:sz w:val="22"/>
                <w:szCs w:val="22"/>
              </w:rPr>
              <w:t>How well do policies, structures and processes comply with relevant guidance and legislation?</w:t>
            </w:r>
            <w:r w:rsidRPr="000D5141">
              <w:rPr>
                <w:rFonts w:asciiTheme="minorHAnsi" w:hAnsiTheme="minorHAnsi" w:cstheme="minorHAnsi"/>
                <w:sz w:val="22"/>
                <w:szCs w:val="22"/>
              </w:rPr>
              <w:br/>
              <w:t>How effectively do forces work together operationally across force boundaries?</w:t>
            </w:r>
            <w:r w:rsidRPr="000D5141">
              <w:rPr>
                <w:rFonts w:asciiTheme="minorHAnsi" w:hAnsiTheme="minorHAnsi" w:cstheme="minorHAnsi"/>
                <w:sz w:val="22"/>
                <w:szCs w:val="22"/>
              </w:rPr>
              <w:br/>
              <w:t xml:space="preserve">How effective are forces in the selection, </w:t>
            </w:r>
            <w:r w:rsidR="00F13063" w:rsidRPr="000D5141">
              <w:rPr>
                <w:rFonts w:asciiTheme="minorHAnsi" w:hAnsiTheme="minorHAnsi" w:cstheme="minorHAnsi"/>
                <w:sz w:val="22"/>
                <w:szCs w:val="22"/>
              </w:rPr>
              <w:t>training,</w:t>
            </w:r>
            <w:r w:rsidRPr="000D5141">
              <w:rPr>
                <w:rFonts w:asciiTheme="minorHAnsi" w:hAnsiTheme="minorHAnsi" w:cstheme="minorHAnsi"/>
                <w:sz w:val="22"/>
                <w:szCs w:val="22"/>
              </w:rPr>
              <w:t xml:space="preserve"> and deployment of tactical firearms advisors, TFCs and SFCs?</w:t>
            </w:r>
            <w:r w:rsidRPr="000D5141">
              <w:rPr>
                <w:rFonts w:asciiTheme="minorHAnsi" w:hAnsiTheme="minorHAnsi" w:cstheme="minorHAnsi"/>
                <w:sz w:val="22"/>
                <w:szCs w:val="22"/>
              </w:rPr>
              <w:br/>
              <w:t>We visited nine police forces in England and Wales between November 2022 and January 2023. These included a range of forces from each region in England and Wales. They included metropolitan and rural forces.</w:t>
            </w:r>
          </w:p>
          <w:p w14:paraId="2DCE3271" w14:textId="36E581A6" w:rsidR="000D5141" w:rsidRPr="000D5141" w:rsidRDefault="000D5141" w:rsidP="000D5141">
            <w:pPr>
              <w:pStyle w:val="NormalWeb"/>
              <w:rPr>
                <w:rFonts w:ascii="Roboto" w:hAnsi="Roboto"/>
                <w:color w:val="101010"/>
                <w:sz w:val="18"/>
                <w:szCs w:val="18"/>
              </w:rPr>
            </w:pPr>
          </w:p>
        </w:tc>
      </w:tr>
      <w:tr w:rsidR="005551FE" w:rsidRPr="00F7424B" w14:paraId="0808154B" w14:textId="77777777" w:rsidTr="00490B78">
        <w:trPr>
          <w:trHeight w:val="367"/>
        </w:trPr>
        <w:tc>
          <w:tcPr>
            <w:tcW w:w="9067" w:type="dxa"/>
            <w:gridSpan w:val="2"/>
          </w:tcPr>
          <w:p w14:paraId="1E6E498B" w14:textId="60A63CCB" w:rsidR="009E35A0" w:rsidRPr="000D585A" w:rsidRDefault="005551FE" w:rsidP="003B0E20">
            <w:pPr>
              <w:rPr>
                <w:b/>
              </w:rPr>
            </w:pPr>
            <w:r>
              <w:rPr>
                <w:b/>
              </w:rPr>
              <w:t>Recommendations</w:t>
            </w:r>
            <w:r w:rsidRPr="000D585A">
              <w:rPr>
                <w:b/>
              </w:rPr>
              <w:t xml:space="preserve">: </w:t>
            </w:r>
          </w:p>
        </w:tc>
      </w:tr>
      <w:tr w:rsidR="005551FE" w:rsidRPr="00F7424B" w14:paraId="79742FAB" w14:textId="77777777" w:rsidTr="000D5141">
        <w:trPr>
          <w:trHeight w:val="375"/>
        </w:trPr>
        <w:tc>
          <w:tcPr>
            <w:tcW w:w="9067" w:type="dxa"/>
            <w:gridSpan w:val="2"/>
            <w:shd w:val="clear" w:color="auto" w:fill="auto"/>
          </w:tcPr>
          <w:p w14:paraId="45573937" w14:textId="77777777" w:rsidR="000D5141" w:rsidRPr="000D5141" w:rsidRDefault="000D5141" w:rsidP="00490B78">
            <w:pPr>
              <w:autoSpaceDE w:val="0"/>
              <w:autoSpaceDN w:val="0"/>
              <w:adjustRightInd w:val="0"/>
              <w:rPr>
                <w:rFonts w:cstheme="minorHAnsi"/>
              </w:rPr>
            </w:pPr>
          </w:p>
          <w:p w14:paraId="00DECE80" w14:textId="0D1BC3C6" w:rsidR="002D4A79" w:rsidRPr="002D4A79" w:rsidRDefault="000E7973" w:rsidP="002D4A79">
            <w:pPr>
              <w:pStyle w:val="NormalWeb"/>
              <w:numPr>
                <w:ilvl w:val="0"/>
                <w:numId w:val="13"/>
              </w:numPr>
              <w:spacing w:before="0" w:beforeAutospacing="0" w:after="0" w:afterAutospacing="0"/>
              <w:rPr>
                <w:rFonts w:asciiTheme="minorHAnsi" w:hAnsiTheme="minorHAnsi" w:cstheme="minorHAnsi"/>
                <w:sz w:val="22"/>
                <w:szCs w:val="22"/>
              </w:rPr>
            </w:pPr>
            <w:r w:rsidRPr="000D5141">
              <w:rPr>
                <w:rFonts w:asciiTheme="minorHAnsi" w:hAnsiTheme="minorHAnsi" w:cstheme="minorHAnsi"/>
                <w:sz w:val="22"/>
                <w:szCs w:val="22"/>
              </w:rPr>
              <w:t xml:space="preserve">#28191 - </w:t>
            </w:r>
            <w:r w:rsidR="000D5141" w:rsidRPr="000D5141">
              <w:rPr>
                <w:rFonts w:asciiTheme="minorHAnsi" w:hAnsiTheme="minorHAnsi" w:cstheme="minorHAnsi"/>
                <w:color w:val="101010"/>
                <w:sz w:val="22"/>
                <w:szCs w:val="22"/>
              </w:rPr>
              <w:t>By 31 July 2024, chief constables should make sure there is access to both specialist strategic firearms commanders and specialist tactical firearms commanders, through a 24-hour rota covering their region.</w:t>
            </w:r>
          </w:p>
          <w:p w14:paraId="78B947BB" w14:textId="77777777" w:rsidR="000D5141" w:rsidRPr="000D5141" w:rsidRDefault="000D5141" w:rsidP="000D5141">
            <w:pPr>
              <w:pStyle w:val="NormalWeb"/>
              <w:spacing w:before="0" w:beforeAutospacing="0" w:after="0" w:afterAutospacing="0"/>
              <w:ind w:left="720"/>
              <w:rPr>
                <w:rFonts w:asciiTheme="minorHAnsi" w:hAnsiTheme="minorHAnsi" w:cstheme="minorHAnsi"/>
                <w:sz w:val="22"/>
                <w:szCs w:val="22"/>
              </w:rPr>
            </w:pPr>
          </w:p>
          <w:p w14:paraId="053F9E4E" w14:textId="5D08E6D6" w:rsidR="000D5141" w:rsidRPr="002D4A79" w:rsidRDefault="000E7973" w:rsidP="0016314F">
            <w:pPr>
              <w:pStyle w:val="NormalWeb"/>
              <w:numPr>
                <w:ilvl w:val="0"/>
                <w:numId w:val="13"/>
              </w:numPr>
              <w:spacing w:before="0" w:beforeAutospacing="0" w:after="0" w:afterAutospacing="0"/>
              <w:rPr>
                <w:rFonts w:asciiTheme="minorHAnsi" w:hAnsiTheme="minorHAnsi" w:cstheme="minorHAnsi"/>
                <w:color w:val="101010"/>
                <w:sz w:val="22"/>
                <w:szCs w:val="22"/>
              </w:rPr>
            </w:pPr>
            <w:r w:rsidRPr="002D4A79">
              <w:rPr>
                <w:rFonts w:asciiTheme="minorHAnsi" w:hAnsiTheme="minorHAnsi" w:cstheme="minorHAnsi"/>
                <w:sz w:val="22"/>
                <w:szCs w:val="22"/>
              </w:rPr>
              <w:t xml:space="preserve">#28234 </w:t>
            </w:r>
            <w:r w:rsidR="002D4A79" w:rsidRPr="002D4A79">
              <w:rPr>
                <w:rFonts w:asciiTheme="minorHAnsi" w:hAnsiTheme="minorHAnsi" w:cstheme="minorHAnsi"/>
                <w:sz w:val="22"/>
                <w:szCs w:val="22"/>
              </w:rPr>
              <w:t xml:space="preserve">– By 31 October 2023, all chief constables should make sure armed response vehicle asset tracking equipment, as provided by Counter Terrorism Policing, is available and used in their forces. They should train relevant staff in its use. </w:t>
            </w:r>
            <w:r w:rsidRPr="002D4A79">
              <w:rPr>
                <w:rFonts w:asciiTheme="minorHAnsi" w:hAnsiTheme="minorHAnsi" w:cstheme="minorHAnsi"/>
                <w:sz w:val="22"/>
                <w:szCs w:val="22"/>
              </w:rPr>
              <w:t xml:space="preserve"> </w:t>
            </w:r>
          </w:p>
          <w:p w14:paraId="5D3DD982" w14:textId="77777777" w:rsidR="002D4A79" w:rsidRPr="002D4A79" w:rsidRDefault="002D4A79" w:rsidP="002D4A79">
            <w:pPr>
              <w:pStyle w:val="NormalWeb"/>
              <w:spacing w:before="0" w:beforeAutospacing="0" w:after="0" w:afterAutospacing="0"/>
              <w:rPr>
                <w:rFonts w:asciiTheme="minorHAnsi" w:hAnsiTheme="minorHAnsi" w:cstheme="minorHAnsi"/>
                <w:color w:val="101010"/>
                <w:sz w:val="22"/>
                <w:szCs w:val="22"/>
              </w:rPr>
            </w:pPr>
          </w:p>
          <w:p w14:paraId="5FA43824" w14:textId="6F467081" w:rsidR="00467DDF" w:rsidRPr="000D5141" w:rsidRDefault="000E7973" w:rsidP="000D5141">
            <w:pPr>
              <w:pStyle w:val="NormalWeb"/>
              <w:numPr>
                <w:ilvl w:val="0"/>
                <w:numId w:val="13"/>
              </w:numPr>
              <w:spacing w:before="0" w:beforeAutospacing="0" w:after="0" w:afterAutospacing="0"/>
              <w:rPr>
                <w:rFonts w:asciiTheme="minorHAnsi" w:hAnsiTheme="minorHAnsi" w:cstheme="minorHAnsi"/>
                <w:sz w:val="22"/>
                <w:szCs w:val="22"/>
              </w:rPr>
            </w:pPr>
            <w:r w:rsidRPr="000D5141">
              <w:rPr>
                <w:rFonts w:asciiTheme="minorHAnsi" w:hAnsiTheme="minorHAnsi" w:cstheme="minorHAnsi"/>
                <w:color w:val="101010"/>
                <w:sz w:val="22"/>
                <w:szCs w:val="22"/>
              </w:rPr>
              <w:t xml:space="preserve">#28281 </w:t>
            </w:r>
            <w:r w:rsidR="002D4A79">
              <w:rPr>
                <w:rFonts w:asciiTheme="minorHAnsi" w:hAnsiTheme="minorHAnsi" w:cstheme="minorHAnsi"/>
                <w:color w:val="101010"/>
                <w:sz w:val="22"/>
                <w:szCs w:val="22"/>
              </w:rPr>
              <w:t xml:space="preserve">– By 31 December 2023, all chief constables should make sure that all strategic and tactical firearms commanders have observed the firearms tactics and the use of specialist munitions they can authorise, before being operationally deployed.  </w:t>
            </w:r>
          </w:p>
          <w:p w14:paraId="79E57892" w14:textId="77777777" w:rsidR="000D5141" w:rsidRDefault="000D5141" w:rsidP="000D5141">
            <w:pPr>
              <w:pStyle w:val="ListParagraph"/>
              <w:rPr>
                <w:rFonts w:asciiTheme="minorHAnsi" w:hAnsiTheme="minorHAnsi" w:cstheme="minorHAnsi"/>
              </w:rPr>
            </w:pPr>
          </w:p>
          <w:p w14:paraId="21519298" w14:textId="5B7EF7C4" w:rsidR="002D4A79" w:rsidRDefault="00B85321" w:rsidP="002D4A79">
            <w:pPr>
              <w:pStyle w:val="ListParagraph"/>
              <w:numPr>
                <w:ilvl w:val="0"/>
                <w:numId w:val="13"/>
              </w:numPr>
              <w:rPr>
                <w:rFonts w:asciiTheme="minorHAnsi" w:hAnsiTheme="minorHAnsi" w:cstheme="minorHAnsi"/>
              </w:rPr>
            </w:pPr>
            <w:r>
              <w:rPr>
                <w:rFonts w:asciiTheme="minorHAnsi" w:hAnsiTheme="minorHAnsi" w:cstheme="minorHAnsi"/>
              </w:rPr>
              <w:t xml:space="preserve">#28501 - </w:t>
            </w:r>
            <w:r w:rsidR="002D4A79" w:rsidRPr="002D4A79">
              <w:rPr>
                <w:rFonts w:asciiTheme="minorHAnsi" w:hAnsiTheme="minorHAnsi" w:cstheme="minorHAnsi"/>
              </w:rPr>
              <w:t xml:space="preserve">By 31 December 2023, chief constables should make sure that the annual accreditation process for strategic and tactical firearms commanders includes familiarization with any new weapons systems and observation of any new tactics or specialist munitions the forcer had introduced or is planning to introduce. </w:t>
            </w:r>
          </w:p>
          <w:p w14:paraId="5F126193" w14:textId="77777777" w:rsidR="002D4A79" w:rsidRPr="002D4A79" w:rsidRDefault="002D4A79" w:rsidP="002D4A79">
            <w:pPr>
              <w:pStyle w:val="ListParagraph"/>
              <w:rPr>
                <w:rFonts w:asciiTheme="minorHAnsi" w:hAnsiTheme="minorHAnsi" w:cstheme="minorHAnsi"/>
              </w:rPr>
            </w:pPr>
          </w:p>
          <w:p w14:paraId="2C15E581" w14:textId="14B54F09" w:rsidR="002D4A79" w:rsidRDefault="00B85321" w:rsidP="002D4A79">
            <w:pPr>
              <w:pStyle w:val="ListParagraph"/>
              <w:numPr>
                <w:ilvl w:val="0"/>
                <w:numId w:val="13"/>
              </w:numPr>
              <w:rPr>
                <w:rFonts w:asciiTheme="minorHAnsi" w:hAnsiTheme="minorHAnsi" w:cstheme="minorHAnsi"/>
              </w:rPr>
            </w:pPr>
            <w:r>
              <w:rPr>
                <w:rFonts w:asciiTheme="minorHAnsi" w:hAnsiTheme="minorHAnsi" w:cstheme="minorHAnsi"/>
              </w:rPr>
              <w:lastRenderedPageBreak/>
              <w:t xml:space="preserve">#28544 - </w:t>
            </w:r>
            <w:r w:rsidR="002D4A79">
              <w:rPr>
                <w:rFonts w:asciiTheme="minorHAnsi" w:hAnsiTheme="minorHAnsi" w:cstheme="minorHAnsi"/>
              </w:rPr>
              <w:t>By 31 October 2023, the regional armed policing lead should share armed pol</w:t>
            </w:r>
            <w:r>
              <w:rPr>
                <w:rFonts w:asciiTheme="minorHAnsi" w:hAnsiTheme="minorHAnsi" w:cstheme="minorHAnsi"/>
              </w:rPr>
              <w:t xml:space="preserve">icing exercises with the National Armed Policing Portfolio. This would allow opportunities for learning to be identified and shared. </w:t>
            </w:r>
          </w:p>
          <w:p w14:paraId="73ADE988" w14:textId="77777777" w:rsidR="00B85321" w:rsidRPr="00B85321" w:rsidRDefault="00B85321" w:rsidP="00B85321">
            <w:pPr>
              <w:pStyle w:val="ListParagraph"/>
              <w:rPr>
                <w:rFonts w:asciiTheme="minorHAnsi" w:hAnsiTheme="minorHAnsi" w:cstheme="minorHAnsi"/>
              </w:rPr>
            </w:pPr>
          </w:p>
          <w:p w14:paraId="548E5709" w14:textId="7D577FCD" w:rsidR="00B85321" w:rsidRDefault="00B85321" w:rsidP="002D4A79">
            <w:pPr>
              <w:pStyle w:val="ListParagraph"/>
              <w:numPr>
                <w:ilvl w:val="0"/>
                <w:numId w:val="13"/>
              </w:numPr>
              <w:rPr>
                <w:rFonts w:asciiTheme="minorHAnsi" w:hAnsiTheme="minorHAnsi" w:cstheme="minorHAnsi"/>
              </w:rPr>
            </w:pPr>
            <w:r>
              <w:rPr>
                <w:rFonts w:asciiTheme="minorHAnsi" w:hAnsiTheme="minorHAnsi" w:cstheme="minorHAnsi"/>
              </w:rPr>
              <w:t xml:space="preserve">#28587 - With immediate effect, each assistant chief constable regional firearms lead should attend all National Armed Policing Portfolio meetings. If they are unable to attend, they should make sure another assistant chief constable armed policing lead from a force in their region attends on their behalf. </w:t>
            </w:r>
          </w:p>
          <w:p w14:paraId="705A7323" w14:textId="77777777" w:rsidR="00B85321" w:rsidRPr="00B85321" w:rsidRDefault="00B85321" w:rsidP="00B85321">
            <w:pPr>
              <w:pStyle w:val="ListParagraph"/>
              <w:rPr>
                <w:rFonts w:asciiTheme="minorHAnsi" w:hAnsiTheme="minorHAnsi" w:cstheme="minorHAnsi"/>
              </w:rPr>
            </w:pPr>
          </w:p>
          <w:p w14:paraId="4AB9A071" w14:textId="1C6EEC20" w:rsidR="000D5141" w:rsidRDefault="00B85321" w:rsidP="00B85321">
            <w:pPr>
              <w:pStyle w:val="ListParagraph"/>
              <w:numPr>
                <w:ilvl w:val="0"/>
                <w:numId w:val="13"/>
              </w:numPr>
              <w:rPr>
                <w:rFonts w:asciiTheme="minorHAnsi" w:hAnsiTheme="minorHAnsi" w:cstheme="minorHAnsi"/>
              </w:rPr>
            </w:pPr>
            <w:r>
              <w:rPr>
                <w:rFonts w:asciiTheme="minorHAnsi" w:hAnsiTheme="minorHAnsi" w:cstheme="minorHAnsi"/>
              </w:rPr>
              <w:t xml:space="preserve">#28632 - With immediate effect, chief constables should improve senior officer oversight of their armories, including an independent annual audit. </w:t>
            </w:r>
          </w:p>
          <w:p w14:paraId="04FBEB93" w14:textId="77777777" w:rsidR="00B85321" w:rsidRPr="00B85321" w:rsidRDefault="00B85321" w:rsidP="00B85321">
            <w:pPr>
              <w:pStyle w:val="ListParagraph"/>
              <w:rPr>
                <w:rFonts w:asciiTheme="minorHAnsi" w:hAnsiTheme="minorHAnsi" w:cstheme="minorHAnsi"/>
              </w:rPr>
            </w:pPr>
          </w:p>
          <w:p w14:paraId="24402C75" w14:textId="0E6C66D3" w:rsidR="000D5141" w:rsidRPr="00B85321" w:rsidRDefault="00B85321" w:rsidP="00B85321">
            <w:pPr>
              <w:pStyle w:val="ListParagraph"/>
              <w:numPr>
                <w:ilvl w:val="0"/>
                <w:numId w:val="13"/>
              </w:numPr>
              <w:rPr>
                <w:rFonts w:asciiTheme="minorHAnsi" w:hAnsiTheme="minorHAnsi" w:cstheme="minorHAnsi"/>
              </w:rPr>
            </w:pPr>
            <w:r>
              <w:rPr>
                <w:rFonts w:asciiTheme="minorHAnsi" w:hAnsiTheme="minorHAnsi" w:cstheme="minorHAnsi"/>
              </w:rPr>
              <w:t xml:space="preserve">#28677 - With immediate effect, chief constable, through their armed policing governance structure, should make sure that all armed deployment records are stored and auditable. </w:t>
            </w:r>
          </w:p>
          <w:p w14:paraId="1945C26A" w14:textId="77777777" w:rsidR="000D5141" w:rsidRPr="000D5141" w:rsidRDefault="000D5141" w:rsidP="000D5141">
            <w:pPr>
              <w:pStyle w:val="NormalWeb"/>
              <w:spacing w:before="0" w:beforeAutospacing="0" w:after="0" w:afterAutospacing="0"/>
              <w:rPr>
                <w:rFonts w:asciiTheme="minorHAnsi" w:hAnsiTheme="minorHAnsi" w:cstheme="minorHAnsi"/>
                <w:sz w:val="22"/>
                <w:szCs w:val="22"/>
              </w:rPr>
            </w:pPr>
          </w:p>
          <w:p w14:paraId="70E76E02" w14:textId="4E003E24" w:rsidR="008C0416" w:rsidRPr="000D5141" w:rsidRDefault="008C0416" w:rsidP="00467DDF">
            <w:pPr>
              <w:autoSpaceDE w:val="0"/>
              <w:autoSpaceDN w:val="0"/>
              <w:adjustRightInd w:val="0"/>
              <w:ind w:left="720"/>
              <w:rPr>
                <w:rFonts w:cstheme="minorHAnsi"/>
              </w:rPr>
            </w:pPr>
          </w:p>
        </w:tc>
      </w:tr>
      <w:tr w:rsidR="005551FE" w:rsidRPr="00F7424B" w14:paraId="686E41A8" w14:textId="77777777" w:rsidTr="00490B78">
        <w:trPr>
          <w:trHeight w:val="225"/>
        </w:trPr>
        <w:tc>
          <w:tcPr>
            <w:tcW w:w="9067" w:type="dxa"/>
            <w:gridSpan w:val="2"/>
          </w:tcPr>
          <w:p w14:paraId="7955B784" w14:textId="05847457" w:rsidR="005551FE" w:rsidRPr="00E063E7" w:rsidRDefault="005551FE" w:rsidP="003B0E20">
            <w:pPr>
              <w:rPr>
                <w:b/>
              </w:rPr>
            </w:pPr>
            <w:r>
              <w:rPr>
                <w:b/>
              </w:rPr>
              <w:lastRenderedPageBreak/>
              <w:t>P</w:t>
            </w:r>
            <w:r w:rsidR="00671116">
              <w:rPr>
                <w:b/>
              </w:rPr>
              <w:t>F</w:t>
            </w:r>
            <w:r>
              <w:rPr>
                <w:b/>
              </w:rPr>
              <w:t xml:space="preserve">CC &amp; </w:t>
            </w:r>
            <w:r w:rsidR="005113AE" w:rsidRPr="000D585A">
              <w:rPr>
                <w:b/>
              </w:rPr>
              <w:t>C</w:t>
            </w:r>
            <w:r w:rsidR="005113AE">
              <w:rPr>
                <w:b/>
              </w:rPr>
              <w:t>onstabulary</w:t>
            </w:r>
            <w:r w:rsidR="000A0DA5">
              <w:rPr>
                <w:b/>
              </w:rPr>
              <w:t xml:space="preserve"> </w:t>
            </w:r>
            <w:r w:rsidRPr="000D585A">
              <w:rPr>
                <w:b/>
              </w:rPr>
              <w:t>Response</w:t>
            </w:r>
            <w:r>
              <w:rPr>
                <w:b/>
              </w:rPr>
              <w:t xml:space="preserve"> to Report and</w:t>
            </w:r>
            <w:r w:rsidRPr="000D585A">
              <w:rPr>
                <w:b/>
              </w:rPr>
              <w:t xml:space="preserve"> </w:t>
            </w:r>
            <w:r>
              <w:rPr>
                <w:b/>
              </w:rPr>
              <w:t>Recommendation</w:t>
            </w:r>
            <w:r w:rsidRPr="000D585A">
              <w:rPr>
                <w:b/>
              </w:rPr>
              <w:t>:</w:t>
            </w:r>
          </w:p>
        </w:tc>
      </w:tr>
      <w:tr w:rsidR="005551FE" w:rsidRPr="00F7424B" w14:paraId="6B13F137" w14:textId="77777777" w:rsidTr="00490B78">
        <w:trPr>
          <w:trHeight w:val="159"/>
        </w:trPr>
        <w:tc>
          <w:tcPr>
            <w:tcW w:w="9067" w:type="dxa"/>
            <w:gridSpan w:val="2"/>
          </w:tcPr>
          <w:p w14:paraId="06300182" w14:textId="77777777" w:rsidR="00713416" w:rsidRDefault="00713416" w:rsidP="00713416">
            <w:pPr>
              <w:pStyle w:val="NormalWeb"/>
              <w:shd w:val="clear" w:color="auto" w:fill="FFFFFF"/>
              <w:spacing w:before="0" w:beforeAutospacing="0" w:after="0" w:afterAutospacing="0"/>
              <w:rPr>
                <w:rFonts w:asciiTheme="minorHAnsi" w:hAnsiTheme="minorHAnsi" w:cstheme="minorHAnsi"/>
                <w:sz w:val="22"/>
                <w:szCs w:val="22"/>
              </w:rPr>
            </w:pPr>
          </w:p>
          <w:p w14:paraId="11178DD2" w14:textId="4FA8788C" w:rsidR="001D0251" w:rsidRDefault="00204795" w:rsidP="00204795">
            <w:pPr>
              <w:pStyle w:val="NormalWeb"/>
              <w:shd w:val="clear" w:color="auto" w:fill="FFFFFF"/>
              <w:spacing w:before="0" w:beforeAutospacing="0" w:after="240" w:afterAutospacing="0"/>
              <w:rPr>
                <w:rFonts w:asciiTheme="minorHAnsi" w:hAnsiTheme="minorHAnsi" w:cstheme="minorHAnsi"/>
                <w:sz w:val="22"/>
                <w:szCs w:val="22"/>
              </w:rPr>
            </w:pPr>
            <w:r>
              <w:rPr>
                <w:rFonts w:asciiTheme="minorHAnsi" w:hAnsiTheme="minorHAnsi" w:cstheme="minorHAnsi"/>
                <w:sz w:val="22"/>
                <w:szCs w:val="22"/>
              </w:rPr>
              <w:t xml:space="preserve">Cumbria’s Police, Fire and Crime Commissioner welcomes the HMICFRS Report - </w:t>
            </w:r>
            <w:r w:rsidRPr="000D5141">
              <w:rPr>
                <w:rFonts w:asciiTheme="minorHAnsi" w:hAnsiTheme="minorHAnsi" w:cstheme="minorHAnsi"/>
                <w:sz w:val="22"/>
                <w:szCs w:val="22"/>
              </w:rPr>
              <w:t>An inspection of how effective police forces are in the deployment of firearms</w:t>
            </w:r>
            <w:r>
              <w:rPr>
                <w:rFonts w:asciiTheme="minorHAnsi" w:hAnsiTheme="minorHAnsi" w:cstheme="minorHAnsi"/>
                <w:sz w:val="22"/>
                <w:szCs w:val="22"/>
              </w:rPr>
              <w:t>.</w:t>
            </w:r>
          </w:p>
          <w:p w14:paraId="383C1504" w14:textId="497E2C64" w:rsidR="00E614D0" w:rsidRDefault="00B15108" w:rsidP="00204795">
            <w:pPr>
              <w:pStyle w:val="NormalWeb"/>
              <w:shd w:val="clear" w:color="auto" w:fill="FFFFFF"/>
              <w:spacing w:before="0" w:beforeAutospacing="0" w:after="240" w:afterAutospacing="0"/>
              <w:rPr>
                <w:rFonts w:asciiTheme="minorHAnsi" w:hAnsiTheme="minorHAnsi" w:cstheme="minorHAnsi"/>
                <w:sz w:val="22"/>
                <w:szCs w:val="22"/>
              </w:rPr>
            </w:pPr>
            <w:r>
              <w:rPr>
                <w:rFonts w:asciiTheme="minorHAnsi" w:hAnsiTheme="minorHAnsi" w:cstheme="minorHAnsi"/>
                <w:sz w:val="22"/>
                <w:szCs w:val="22"/>
              </w:rPr>
              <w:t>“</w:t>
            </w:r>
            <w:r w:rsidR="00E614D0">
              <w:rPr>
                <w:rFonts w:asciiTheme="minorHAnsi" w:hAnsiTheme="minorHAnsi" w:cstheme="minorHAnsi"/>
                <w:sz w:val="22"/>
                <w:szCs w:val="22"/>
              </w:rPr>
              <w:t xml:space="preserve">I welcome the recommendations that are highlighted within the report and will </w:t>
            </w:r>
            <w:r>
              <w:rPr>
                <w:rFonts w:asciiTheme="minorHAnsi" w:hAnsiTheme="minorHAnsi" w:cstheme="minorHAnsi"/>
                <w:sz w:val="22"/>
                <w:szCs w:val="22"/>
              </w:rPr>
              <w:t xml:space="preserve">continue to seek assurances </w:t>
            </w:r>
            <w:r w:rsidR="00E614D0">
              <w:rPr>
                <w:rFonts w:asciiTheme="minorHAnsi" w:hAnsiTheme="minorHAnsi" w:cstheme="minorHAnsi"/>
                <w:sz w:val="22"/>
                <w:szCs w:val="22"/>
              </w:rPr>
              <w:t xml:space="preserve">from the Chief Constable that best practice </w:t>
            </w:r>
            <w:r>
              <w:rPr>
                <w:rFonts w:asciiTheme="minorHAnsi" w:hAnsiTheme="minorHAnsi" w:cstheme="minorHAnsi"/>
                <w:sz w:val="22"/>
                <w:szCs w:val="22"/>
              </w:rPr>
              <w:t xml:space="preserve">is followed and maintained in relation to the deployment of firearms </w:t>
            </w:r>
            <w:r w:rsidR="004C5EF6">
              <w:rPr>
                <w:rFonts w:asciiTheme="minorHAnsi" w:hAnsiTheme="minorHAnsi" w:cstheme="minorHAnsi"/>
                <w:sz w:val="22"/>
                <w:szCs w:val="22"/>
              </w:rPr>
              <w:t xml:space="preserve">across </w:t>
            </w:r>
            <w:r>
              <w:rPr>
                <w:rFonts w:asciiTheme="minorHAnsi" w:hAnsiTheme="minorHAnsi" w:cstheme="minorHAnsi"/>
                <w:sz w:val="22"/>
                <w:szCs w:val="22"/>
              </w:rPr>
              <w:t xml:space="preserve">the Force.” </w:t>
            </w:r>
          </w:p>
          <w:p w14:paraId="56F3CFCB" w14:textId="77777777" w:rsidR="00713416" w:rsidRDefault="00713416" w:rsidP="0054729E">
            <w:r w:rsidRPr="0066676D">
              <w:t>The Constabulary have provided the following response:</w:t>
            </w:r>
          </w:p>
          <w:p w14:paraId="1E200FBC" w14:textId="77777777" w:rsidR="00713416" w:rsidRDefault="00713416" w:rsidP="0054729E"/>
          <w:p w14:paraId="6675A64B" w14:textId="6277846C" w:rsidR="0054729E" w:rsidRPr="00713416" w:rsidRDefault="00713416" w:rsidP="0054729E">
            <w:r w:rsidRPr="00713416">
              <w:t>“</w:t>
            </w:r>
            <w:r w:rsidR="0054729E" w:rsidRPr="00713416">
              <w:t xml:space="preserve">The Constabulary welcomes the publication and recommendations as a measure of expectation surrounding firearms capability; capacity; governance and accreditation requirements. We continue to operate effectively and to a high standard with our regional and national armed policing </w:t>
            </w:r>
            <w:r w:rsidR="00204795" w:rsidRPr="00713416">
              <w:t>colleagues,</w:t>
            </w:r>
            <w:r w:rsidR="0054729E" w:rsidRPr="00713416">
              <w:t xml:space="preserve"> and more locally our Ministry of Defence and Civil Nuclear partners.</w:t>
            </w:r>
            <w:r w:rsidRPr="00713416">
              <w:t>”</w:t>
            </w:r>
            <w:r w:rsidR="0054729E" w:rsidRPr="00713416">
              <w:t xml:space="preserve"> </w:t>
            </w:r>
          </w:p>
          <w:p w14:paraId="3A8CF780" w14:textId="3450B41F" w:rsidR="00CC43E5" w:rsidRDefault="00CC43E5" w:rsidP="007B5F9E">
            <w:pPr>
              <w:pStyle w:val="NormalWeb"/>
              <w:shd w:val="clear" w:color="auto" w:fill="FFFFFF"/>
              <w:spacing w:before="0" w:beforeAutospacing="0" w:after="0" w:afterAutospacing="0"/>
            </w:pPr>
          </w:p>
          <w:p w14:paraId="2D9B63B5" w14:textId="77777777" w:rsidR="00665245" w:rsidRPr="00490B78" w:rsidRDefault="00665245" w:rsidP="00490B78">
            <w:pPr>
              <w:pStyle w:val="NormalWeb"/>
              <w:rPr>
                <w:rFonts w:asciiTheme="minorHAnsi" w:hAnsiTheme="minorHAnsi" w:cstheme="minorHAnsi"/>
                <w:color w:val="101010"/>
                <w:sz w:val="22"/>
                <w:szCs w:val="22"/>
              </w:rPr>
            </w:pPr>
          </w:p>
          <w:p w14:paraId="4A109B73" w14:textId="77777777" w:rsidR="00490B78" w:rsidRDefault="00490B78" w:rsidP="007B5F9E">
            <w:pPr>
              <w:pStyle w:val="NormalWeb"/>
              <w:shd w:val="clear" w:color="auto" w:fill="FFFFFF"/>
              <w:spacing w:before="0" w:beforeAutospacing="0" w:after="0" w:afterAutospacing="0"/>
            </w:pPr>
          </w:p>
          <w:p w14:paraId="13EAA6E9" w14:textId="2C120765" w:rsidR="001A0715" w:rsidRDefault="001A0715" w:rsidP="007B5F9E">
            <w:pPr>
              <w:pStyle w:val="NormalWeb"/>
              <w:shd w:val="clear" w:color="auto" w:fill="FFFFFF"/>
              <w:spacing w:before="0" w:beforeAutospacing="0" w:after="0" w:afterAutospacing="0"/>
            </w:pPr>
          </w:p>
          <w:p w14:paraId="4AB283DC" w14:textId="3D79646A" w:rsidR="001A0715" w:rsidRDefault="001A0715" w:rsidP="007B5F9E">
            <w:pPr>
              <w:pStyle w:val="NormalWeb"/>
              <w:shd w:val="clear" w:color="auto" w:fill="FFFFFF"/>
              <w:spacing w:before="0" w:beforeAutospacing="0" w:after="0" w:afterAutospacing="0"/>
            </w:pPr>
          </w:p>
          <w:p w14:paraId="750E1A02" w14:textId="3908C752" w:rsidR="001A0715" w:rsidRDefault="001A0715" w:rsidP="007B5F9E">
            <w:pPr>
              <w:pStyle w:val="NormalWeb"/>
              <w:shd w:val="clear" w:color="auto" w:fill="FFFFFF"/>
              <w:spacing w:before="0" w:beforeAutospacing="0" w:after="0" w:afterAutospacing="0"/>
            </w:pPr>
          </w:p>
          <w:p w14:paraId="20D373BA" w14:textId="6B0B5F5D" w:rsidR="001A0715" w:rsidRDefault="001A0715" w:rsidP="007B5F9E">
            <w:pPr>
              <w:pStyle w:val="NormalWeb"/>
              <w:shd w:val="clear" w:color="auto" w:fill="FFFFFF"/>
              <w:spacing w:before="0" w:beforeAutospacing="0" w:after="0" w:afterAutospacing="0"/>
            </w:pPr>
          </w:p>
          <w:p w14:paraId="2E5666DA" w14:textId="43B47A9C" w:rsidR="001A0715" w:rsidRDefault="001A0715" w:rsidP="007B5F9E">
            <w:pPr>
              <w:pStyle w:val="NormalWeb"/>
              <w:shd w:val="clear" w:color="auto" w:fill="FFFFFF"/>
              <w:spacing w:before="0" w:beforeAutospacing="0" w:after="0" w:afterAutospacing="0"/>
            </w:pPr>
          </w:p>
          <w:p w14:paraId="7DD07C19" w14:textId="4235CB96" w:rsidR="001A0715" w:rsidRDefault="001A0715" w:rsidP="007B5F9E">
            <w:pPr>
              <w:pStyle w:val="NormalWeb"/>
              <w:shd w:val="clear" w:color="auto" w:fill="FFFFFF"/>
              <w:spacing w:before="0" w:beforeAutospacing="0" w:after="0" w:afterAutospacing="0"/>
            </w:pPr>
          </w:p>
          <w:p w14:paraId="24D000C0" w14:textId="5AB9959F" w:rsidR="001A0715" w:rsidRDefault="001A0715" w:rsidP="007B5F9E">
            <w:pPr>
              <w:pStyle w:val="NormalWeb"/>
              <w:shd w:val="clear" w:color="auto" w:fill="FFFFFF"/>
              <w:spacing w:before="0" w:beforeAutospacing="0" w:after="0" w:afterAutospacing="0"/>
            </w:pPr>
          </w:p>
          <w:p w14:paraId="1CADE6BB" w14:textId="567951F9" w:rsidR="001A0715" w:rsidRDefault="001A0715" w:rsidP="007B5F9E">
            <w:pPr>
              <w:pStyle w:val="NormalWeb"/>
              <w:shd w:val="clear" w:color="auto" w:fill="FFFFFF"/>
              <w:spacing w:before="0" w:beforeAutospacing="0" w:after="0" w:afterAutospacing="0"/>
            </w:pPr>
          </w:p>
          <w:p w14:paraId="074AA696" w14:textId="0E3BC3E5" w:rsidR="001A0715" w:rsidRDefault="001A0715" w:rsidP="007B5F9E">
            <w:pPr>
              <w:pStyle w:val="NormalWeb"/>
              <w:shd w:val="clear" w:color="auto" w:fill="FFFFFF"/>
              <w:spacing w:before="0" w:beforeAutospacing="0" w:after="0" w:afterAutospacing="0"/>
            </w:pPr>
          </w:p>
          <w:p w14:paraId="25D6F2AC" w14:textId="42287917" w:rsidR="00914C87" w:rsidRDefault="00914C87" w:rsidP="007B5F9E">
            <w:pPr>
              <w:pStyle w:val="NormalWeb"/>
              <w:shd w:val="clear" w:color="auto" w:fill="FFFFFF"/>
              <w:spacing w:before="0" w:beforeAutospacing="0" w:after="0" w:afterAutospacing="0"/>
            </w:pPr>
          </w:p>
          <w:p w14:paraId="25BA4192" w14:textId="75724C30" w:rsidR="00914C87" w:rsidRDefault="00914C87" w:rsidP="007B5F9E">
            <w:pPr>
              <w:pStyle w:val="NormalWeb"/>
              <w:shd w:val="clear" w:color="auto" w:fill="FFFFFF"/>
              <w:spacing w:before="0" w:beforeAutospacing="0" w:after="0" w:afterAutospacing="0"/>
            </w:pPr>
          </w:p>
          <w:p w14:paraId="3CE1B896" w14:textId="3A7322BE" w:rsidR="00914C87" w:rsidRDefault="00914C87" w:rsidP="007B5F9E">
            <w:pPr>
              <w:pStyle w:val="NormalWeb"/>
              <w:shd w:val="clear" w:color="auto" w:fill="FFFFFF"/>
              <w:spacing w:before="0" w:beforeAutospacing="0" w:after="0" w:afterAutospacing="0"/>
            </w:pPr>
          </w:p>
          <w:p w14:paraId="6E089B1A" w14:textId="5B332A9B" w:rsidR="00914C87" w:rsidRDefault="00914C87" w:rsidP="007B5F9E">
            <w:pPr>
              <w:pStyle w:val="NormalWeb"/>
              <w:shd w:val="clear" w:color="auto" w:fill="FFFFFF"/>
              <w:spacing w:before="0" w:beforeAutospacing="0" w:after="0" w:afterAutospacing="0"/>
            </w:pPr>
          </w:p>
          <w:p w14:paraId="54F66761" w14:textId="0BE8E3BC" w:rsidR="00914C87" w:rsidRDefault="00914C87" w:rsidP="007B5F9E">
            <w:pPr>
              <w:pStyle w:val="NormalWeb"/>
              <w:shd w:val="clear" w:color="auto" w:fill="FFFFFF"/>
              <w:spacing w:before="0" w:beforeAutospacing="0" w:after="0" w:afterAutospacing="0"/>
            </w:pPr>
          </w:p>
          <w:p w14:paraId="00756191" w14:textId="322CA8FB" w:rsidR="00914C87" w:rsidRDefault="00914C87" w:rsidP="007B5F9E">
            <w:pPr>
              <w:pStyle w:val="NormalWeb"/>
              <w:shd w:val="clear" w:color="auto" w:fill="FFFFFF"/>
              <w:spacing w:before="0" w:beforeAutospacing="0" w:after="0" w:afterAutospacing="0"/>
            </w:pPr>
          </w:p>
          <w:p w14:paraId="148DCC2B" w14:textId="77777777" w:rsidR="00B85321" w:rsidRDefault="00B85321" w:rsidP="007B5F9E">
            <w:pPr>
              <w:pStyle w:val="NormalWeb"/>
              <w:shd w:val="clear" w:color="auto" w:fill="FFFFFF"/>
              <w:spacing w:before="0" w:beforeAutospacing="0" w:after="0" w:afterAutospacing="0"/>
            </w:pPr>
          </w:p>
          <w:p w14:paraId="50B05F87" w14:textId="77777777" w:rsidR="00B85321" w:rsidRDefault="00B85321" w:rsidP="007B5F9E">
            <w:pPr>
              <w:pStyle w:val="NormalWeb"/>
              <w:shd w:val="clear" w:color="auto" w:fill="FFFFFF"/>
              <w:spacing w:before="0" w:beforeAutospacing="0" w:after="0" w:afterAutospacing="0"/>
            </w:pPr>
          </w:p>
          <w:p w14:paraId="15374E00" w14:textId="77777777" w:rsidR="00914C87" w:rsidRDefault="00914C87" w:rsidP="007B5F9E">
            <w:pPr>
              <w:pStyle w:val="NormalWeb"/>
              <w:shd w:val="clear" w:color="auto" w:fill="FFFFFF"/>
              <w:spacing w:before="0" w:beforeAutospacing="0" w:after="0" w:afterAutospacing="0"/>
            </w:pPr>
          </w:p>
          <w:p w14:paraId="01566957" w14:textId="1DC8D178" w:rsidR="001A0715" w:rsidRPr="00FE2721" w:rsidRDefault="001A0715" w:rsidP="008C0416">
            <w:pPr>
              <w:rPr>
                <w:rFonts w:cstheme="minorHAnsi"/>
              </w:rPr>
            </w:pPr>
          </w:p>
        </w:tc>
      </w:tr>
    </w:tbl>
    <w:p w14:paraId="7604699C" w14:textId="1E2824FE" w:rsidR="00914C87" w:rsidRPr="005551FE" w:rsidRDefault="00914C87">
      <w:pPr>
        <w:rPr>
          <w:b/>
          <w:color w:val="5B9BD5" w:themeColor="accent5"/>
          <w:sz w:val="24"/>
          <w:szCs w:val="24"/>
        </w:rPr>
      </w:pPr>
    </w:p>
    <w:sectPr w:rsidR="00914C87" w:rsidRPr="005551F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909E9" w14:textId="77777777" w:rsidR="00F70C5F" w:rsidRDefault="00F70C5F" w:rsidP="005551FE">
      <w:pPr>
        <w:spacing w:after="0" w:line="240" w:lineRule="auto"/>
      </w:pPr>
      <w:r>
        <w:separator/>
      </w:r>
    </w:p>
  </w:endnote>
  <w:endnote w:type="continuationSeparator" w:id="0">
    <w:p w14:paraId="6D5119B0" w14:textId="77777777" w:rsidR="00F70C5F" w:rsidRDefault="00F70C5F" w:rsidP="005551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Raleway">
    <w:altName w:val="Trebuchet MS"/>
    <w:charset w:val="00"/>
    <w:family w:val="auto"/>
    <w:pitch w:val="variable"/>
    <w:sig w:usb0="A00002FF" w:usb1="5000205B" w:usb2="00000000" w:usb3="00000000" w:csb0="00000197"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A865F" w14:textId="77777777" w:rsidR="00F70C5F" w:rsidRDefault="00F70C5F" w:rsidP="005551FE">
      <w:pPr>
        <w:spacing w:after="0" w:line="240" w:lineRule="auto"/>
      </w:pPr>
      <w:r>
        <w:separator/>
      </w:r>
    </w:p>
  </w:footnote>
  <w:footnote w:type="continuationSeparator" w:id="0">
    <w:p w14:paraId="67256880" w14:textId="77777777" w:rsidR="00F70C5F" w:rsidRDefault="00F70C5F" w:rsidP="005551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A6084"/>
    <w:multiLevelType w:val="hybridMultilevel"/>
    <w:tmpl w:val="01406A16"/>
    <w:lvl w:ilvl="0" w:tplc="08090001">
      <w:start w:val="1"/>
      <w:numFmt w:val="bullet"/>
      <w:lvlText w:val=""/>
      <w:lvlJc w:val="left"/>
      <w:pPr>
        <w:ind w:left="720" w:hanging="360"/>
      </w:pPr>
      <w:rPr>
        <w:rFonts w:ascii="Symbol" w:hAnsi="Symbol" w:hint="default"/>
      </w:rPr>
    </w:lvl>
    <w:lvl w:ilvl="1" w:tplc="528E72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B07A1B"/>
    <w:multiLevelType w:val="hybridMultilevel"/>
    <w:tmpl w:val="FD0075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4C48C3"/>
    <w:multiLevelType w:val="hybridMultilevel"/>
    <w:tmpl w:val="6EF41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8D6D52"/>
    <w:multiLevelType w:val="hybridMultilevel"/>
    <w:tmpl w:val="46BC17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322146"/>
    <w:multiLevelType w:val="hybridMultilevel"/>
    <w:tmpl w:val="7F6E425E"/>
    <w:lvl w:ilvl="0" w:tplc="F8CE8B26">
      <w:numFmt w:val="bullet"/>
      <w:lvlText w:val="-"/>
      <w:lvlJc w:val="left"/>
      <w:pPr>
        <w:ind w:left="1080" w:hanging="360"/>
      </w:pPr>
      <w:rPr>
        <w:rFonts w:ascii="Calibri" w:eastAsia="Arial Unicode MS"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5F545F4"/>
    <w:multiLevelType w:val="hybridMultilevel"/>
    <w:tmpl w:val="F5B4A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190A08"/>
    <w:multiLevelType w:val="hybridMultilevel"/>
    <w:tmpl w:val="4B00B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283D57"/>
    <w:multiLevelType w:val="hybridMultilevel"/>
    <w:tmpl w:val="BD7AA6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36E75CB"/>
    <w:multiLevelType w:val="hybridMultilevel"/>
    <w:tmpl w:val="9640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423EEC"/>
    <w:multiLevelType w:val="hybridMultilevel"/>
    <w:tmpl w:val="5AF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1929D1"/>
    <w:multiLevelType w:val="hybridMultilevel"/>
    <w:tmpl w:val="E9422F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995266"/>
    <w:multiLevelType w:val="hybridMultilevel"/>
    <w:tmpl w:val="B5C83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64B04"/>
    <w:multiLevelType w:val="hybridMultilevel"/>
    <w:tmpl w:val="2FEA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6987736">
    <w:abstractNumId w:val="11"/>
  </w:num>
  <w:num w:numId="2" w16cid:durableId="1189754214">
    <w:abstractNumId w:val="8"/>
  </w:num>
  <w:num w:numId="3" w16cid:durableId="1274478975">
    <w:abstractNumId w:val="0"/>
  </w:num>
  <w:num w:numId="4" w16cid:durableId="445544418">
    <w:abstractNumId w:val="3"/>
  </w:num>
  <w:num w:numId="5" w16cid:durableId="1078330292">
    <w:abstractNumId w:val="12"/>
  </w:num>
  <w:num w:numId="6" w16cid:durableId="856772445">
    <w:abstractNumId w:val="2"/>
  </w:num>
  <w:num w:numId="7" w16cid:durableId="1254435320">
    <w:abstractNumId w:val="1"/>
  </w:num>
  <w:num w:numId="8" w16cid:durableId="1691639611">
    <w:abstractNumId w:val="9"/>
  </w:num>
  <w:num w:numId="9" w16cid:durableId="636758931">
    <w:abstractNumId w:val="7"/>
  </w:num>
  <w:num w:numId="10" w16cid:durableId="1134182391">
    <w:abstractNumId w:val="10"/>
  </w:num>
  <w:num w:numId="11" w16cid:durableId="1150172863">
    <w:abstractNumId w:val="4"/>
  </w:num>
  <w:num w:numId="12" w16cid:durableId="926155845">
    <w:abstractNumId w:val="5"/>
  </w:num>
  <w:num w:numId="13" w16cid:durableId="5597050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1FE"/>
    <w:rsid w:val="0003504F"/>
    <w:rsid w:val="000354B7"/>
    <w:rsid w:val="00054D8C"/>
    <w:rsid w:val="0006707B"/>
    <w:rsid w:val="00071583"/>
    <w:rsid w:val="00081D42"/>
    <w:rsid w:val="000A0DA5"/>
    <w:rsid w:val="000D5141"/>
    <w:rsid w:val="000E7973"/>
    <w:rsid w:val="00104F3C"/>
    <w:rsid w:val="00106EA7"/>
    <w:rsid w:val="00112288"/>
    <w:rsid w:val="0011666E"/>
    <w:rsid w:val="00130CC5"/>
    <w:rsid w:val="001342C3"/>
    <w:rsid w:val="001733C4"/>
    <w:rsid w:val="001A0715"/>
    <w:rsid w:val="001D0251"/>
    <w:rsid w:val="00204795"/>
    <w:rsid w:val="00207864"/>
    <w:rsid w:val="0023509A"/>
    <w:rsid w:val="002D4A79"/>
    <w:rsid w:val="0032476B"/>
    <w:rsid w:val="00345CA9"/>
    <w:rsid w:val="00385129"/>
    <w:rsid w:val="00393B09"/>
    <w:rsid w:val="0039658F"/>
    <w:rsid w:val="003B3BD5"/>
    <w:rsid w:val="003E43DE"/>
    <w:rsid w:val="00455CE3"/>
    <w:rsid w:val="00467DDF"/>
    <w:rsid w:val="00473E1F"/>
    <w:rsid w:val="00490B78"/>
    <w:rsid w:val="004961B2"/>
    <w:rsid w:val="004C5EF6"/>
    <w:rsid w:val="004D4E10"/>
    <w:rsid w:val="004F11A9"/>
    <w:rsid w:val="005113AE"/>
    <w:rsid w:val="0054729E"/>
    <w:rsid w:val="005551FE"/>
    <w:rsid w:val="00565793"/>
    <w:rsid w:val="0066113B"/>
    <w:rsid w:val="00665245"/>
    <w:rsid w:val="00671116"/>
    <w:rsid w:val="006A3981"/>
    <w:rsid w:val="006C26C7"/>
    <w:rsid w:val="006C2745"/>
    <w:rsid w:val="006F130E"/>
    <w:rsid w:val="00713416"/>
    <w:rsid w:val="0079152F"/>
    <w:rsid w:val="007B5F9E"/>
    <w:rsid w:val="007F1780"/>
    <w:rsid w:val="008251DE"/>
    <w:rsid w:val="00852E44"/>
    <w:rsid w:val="008C0416"/>
    <w:rsid w:val="008C614E"/>
    <w:rsid w:val="008F4E3D"/>
    <w:rsid w:val="009028DD"/>
    <w:rsid w:val="00903886"/>
    <w:rsid w:val="00914C87"/>
    <w:rsid w:val="00931E2D"/>
    <w:rsid w:val="009543F0"/>
    <w:rsid w:val="00960AEE"/>
    <w:rsid w:val="009618AE"/>
    <w:rsid w:val="00975432"/>
    <w:rsid w:val="009901FF"/>
    <w:rsid w:val="00991537"/>
    <w:rsid w:val="00993C2A"/>
    <w:rsid w:val="009B7539"/>
    <w:rsid w:val="009E35A0"/>
    <w:rsid w:val="009E5C4D"/>
    <w:rsid w:val="00A31E30"/>
    <w:rsid w:val="00A6174F"/>
    <w:rsid w:val="00A648D1"/>
    <w:rsid w:val="00A7379E"/>
    <w:rsid w:val="00AD5320"/>
    <w:rsid w:val="00AE1889"/>
    <w:rsid w:val="00AE4F3B"/>
    <w:rsid w:val="00AF6BE6"/>
    <w:rsid w:val="00B15108"/>
    <w:rsid w:val="00B3219A"/>
    <w:rsid w:val="00B55EEE"/>
    <w:rsid w:val="00B85321"/>
    <w:rsid w:val="00C35352"/>
    <w:rsid w:val="00C7425C"/>
    <w:rsid w:val="00CC0B93"/>
    <w:rsid w:val="00CC43E5"/>
    <w:rsid w:val="00CD449F"/>
    <w:rsid w:val="00D27E47"/>
    <w:rsid w:val="00D42005"/>
    <w:rsid w:val="00D42640"/>
    <w:rsid w:val="00D50AB5"/>
    <w:rsid w:val="00D800AD"/>
    <w:rsid w:val="00E006DE"/>
    <w:rsid w:val="00E26599"/>
    <w:rsid w:val="00E557A2"/>
    <w:rsid w:val="00E614D0"/>
    <w:rsid w:val="00EB42FB"/>
    <w:rsid w:val="00EC0349"/>
    <w:rsid w:val="00EE75C8"/>
    <w:rsid w:val="00EF7DFE"/>
    <w:rsid w:val="00F13063"/>
    <w:rsid w:val="00F26796"/>
    <w:rsid w:val="00F70C5F"/>
    <w:rsid w:val="00F76BBB"/>
    <w:rsid w:val="00F81B0B"/>
    <w:rsid w:val="00F84014"/>
    <w:rsid w:val="00FB44B1"/>
    <w:rsid w:val="00FC0AAC"/>
    <w:rsid w:val="00FC4916"/>
    <w:rsid w:val="00FE2721"/>
    <w:rsid w:val="00FF6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43FC88B"/>
  <w15:chartTrackingRefBased/>
  <w15:docId w15:val="{53273E21-5A04-40E2-A14F-FB3AB5C30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51FE"/>
  </w:style>
  <w:style w:type="paragraph" w:styleId="Heading3">
    <w:name w:val="heading 3"/>
    <w:basedOn w:val="Normal"/>
    <w:link w:val="Heading3Char"/>
    <w:uiPriority w:val="9"/>
    <w:qFormat/>
    <w:rsid w:val="00FF612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5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rsid w:val="005551FE"/>
    <w:pPr>
      <w:pBdr>
        <w:top w:val="nil"/>
        <w:left w:val="nil"/>
        <w:bottom w:val="nil"/>
        <w:right w:val="nil"/>
        <w:between w:val="nil"/>
        <w:bar w:val="nil"/>
      </w:pBdr>
      <w:ind w:left="720"/>
    </w:pPr>
    <w:rPr>
      <w:rFonts w:ascii="Times New Roman" w:eastAsia="Arial Unicode MS" w:hAnsi="Times New Roman" w:cs="Arial Unicode MS"/>
      <w:color w:val="000000"/>
      <w:u w:color="000000"/>
      <w:bdr w:val="nil"/>
      <w:lang w:val="en-US" w:eastAsia="en-GB"/>
    </w:rPr>
  </w:style>
  <w:style w:type="paragraph" w:styleId="NormalWeb">
    <w:name w:val="Normal (Web)"/>
    <w:basedOn w:val="Normal"/>
    <w:uiPriority w:val="99"/>
    <w:unhideWhenUsed/>
    <w:rsid w:val="003B3BD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B3BD5"/>
    <w:rPr>
      <w:color w:val="0000FF"/>
      <w:u w:val="single"/>
    </w:rPr>
  </w:style>
  <w:style w:type="character" w:customStyle="1" w:styleId="Heading3Char">
    <w:name w:val="Heading 3 Char"/>
    <w:basedOn w:val="DefaultParagraphFont"/>
    <w:link w:val="Heading3"/>
    <w:uiPriority w:val="9"/>
    <w:rsid w:val="00FF6121"/>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8C614E"/>
    <w:rPr>
      <w:sz w:val="16"/>
      <w:szCs w:val="16"/>
    </w:rPr>
  </w:style>
  <w:style w:type="paragraph" w:styleId="CommentText">
    <w:name w:val="annotation text"/>
    <w:basedOn w:val="Normal"/>
    <w:link w:val="CommentTextChar"/>
    <w:uiPriority w:val="99"/>
    <w:semiHidden/>
    <w:unhideWhenUsed/>
    <w:rsid w:val="008C614E"/>
    <w:pPr>
      <w:spacing w:line="240" w:lineRule="auto"/>
    </w:pPr>
    <w:rPr>
      <w:sz w:val="20"/>
      <w:szCs w:val="20"/>
    </w:rPr>
  </w:style>
  <w:style w:type="character" w:customStyle="1" w:styleId="CommentTextChar">
    <w:name w:val="Comment Text Char"/>
    <w:basedOn w:val="DefaultParagraphFont"/>
    <w:link w:val="CommentText"/>
    <w:uiPriority w:val="99"/>
    <w:semiHidden/>
    <w:rsid w:val="008C614E"/>
    <w:rPr>
      <w:sz w:val="20"/>
      <w:szCs w:val="20"/>
    </w:rPr>
  </w:style>
  <w:style w:type="paragraph" w:styleId="CommentSubject">
    <w:name w:val="annotation subject"/>
    <w:basedOn w:val="CommentText"/>
    <w:next w:val="CommentText"/>
    <w:link w:val="CommentSubjectChar"/>
    <w:uiPriority w:val="99"/>
    <w:semiHidden/>
    <w:unhideWhenUsed/>
    <w:rsid w:val="008C614E"/>
    <w:rPr>
      <w:b/>
      <w:bCs/>
    </w:rPr>
  </w:style>
  <w:style w:type="character" w:customStyle="1" w:styleId="CommentSubjectChar">
    <w:name w:val="Comment Subject Char"/>
    <w:basedOn w:val="CommentTextChar"/>
    <w:link w:val="CommentSubject"/>
    <w:uiPriority w:val="99"/>
    <w:semiHidden/>
    <w:rsid w:val="008C614E"/>
    <w:rPr>
      <w:b/>
      <w:bCs/>
      <w:sz w:val="20"/>
      <w:szCs w:val="20"/>
    </w:rPr>
  </w:style>
  <w:style w:type="paragraph" w:styleId="FootnoteText">
    <w:name w:val="footnote text"/>
    <w:basedOn w:val="Normal"/>
    <w:link w:val="FootnoteTextChar"/>
    <w:uiPriority w:val="99"/>
    <w:semiHidden/>
    <w:unhideWhenUsed/>
    <w:rsid w:val="00AE18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1889"/>
    <w:rPr>
      <w:sz w:val="20"/>
      <w:szCs w:val="20"/>
    </w:rPr>
  </w:style>
  <w:style w:type="character" w:styleId="FootnoteReference">
    <w:name w:val="footnote reference"/>
    <w:basedOn w:val="DefaultParagraphFont"/>
    <w:uiPriority w:val="99"/>
    <w:semiHidden/>
    <w:unhideWhenUsed/>
    <w:rsid w:val="00AE1889"/>
    <w:rPr>
      <w:vertAlign w:val="superscript"/>
    </w:rPr>
  </w:style>
  <w:style w:type="character" w:styleId="FollowedHyperlink">
    <w:name w:val="FollowedHyperlink"/>
    <w:basedOn w:val="DefaultParagraphFont"/>
    <w:uiPriority w:val="99"/>
    <w:semiHidden/>
    <w:unhideWhenUsed/>
    <w:rsid w:val="00AE1889"/>
    <w:rPr>
      <w:color w:val="954F72" w:themeColor="followedHyperlink"/>
      <w:u w:val="single"/>
    </w:rPr>
  </w:style>
  <w:style w:type="character" w:customStyle="1" w:styleId="cf01">
    <w:name w:val="cf01"/>
    <w:basedOn w:val="DefaultParagraphFont"/>
    <w:rsid w:val="007B5F9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6309">
      <w:bodyDiv w:val="1"/>
      <w:marLeft w:val="0"/>
      <w:marRight w:val="0"/>
      <w:marTop w:val="0"/>
      <w:marBottom w:val="0"/>
      <w:divBdr>
        <w:top w:val="none" w:sz="0" w:space="0" w:color="auto"/>
        <w:left w:val="none" w:sz="0" w:space="0" w:color="auto"/>
        <w:bottom w:val="none" w:sz="0" w:space="0" w:color="auto"/>
        <w:right w:val="none" w:sz="0" w:space="0" w:color="auto"/>
      </w:divBdr>
    </w:div>
    <w:div w:id="307318479">
      <w:bodyDiv w:val="1"/>
      <w:marLeft w:val="0"/>
      <w:marRight w:val="0"/>
      <w:marTop w:val="0"/>
      <w:marBottom w:val="0"/>
      <w:divBdr>
        <w:top w:val="none" w:sz="0" w:space="0" w:color="auto"/>
        <w:left w:val="none" w:sz="0" w:space="0" w:color="auto"/>
        <w:bottom w:val="none" w:sz="0" w:space="0" w:color="auto"/>
        <w:right w:val="none" w:sz="0" w:space="0" w:color="auto"/>
      </w:divBdr>
    </w:div>
    <w:div w:id="324864112">
      <w:bodyDiv w:val="1"/>
      <w:marLeft w:val="0"/>
      <w:marRight w:val="0"/>
      <w:marTop w:val="0"/>
      <w:marBottom w:val="0"/>
      <w:divBdr>
        <w:top w:val="none" w:sz="0" w:space="0" w:color="auto"/>
        <w:left w:val="none" w:sz="0" w:space="0" w:color="auto"/>
        <w:bottom w:val="none" w:sz="0" w:space="0" w:color="auto"/>
        <w:right w:val="none" w:sz="0" w:space="0" w:color="auto"/>
      </w:divBdr>
    </w:div>
    <w:div w:id="389812169">
      <w:bodyDiv w:val="1"/>
      <w:marLeft w:val="0"/>
      <w:marRight w:val="0"/>
      <w:marTop w:val="0"/>
      <w:marBottom w:val="0"/>
      <w:divBdr>
        <w:top w:val="none" w:sz="0" w:space="0" w:color="auto"/>
        <w:left w:val="none" w:sz="0" w:space="0" w:color="auto"/>
        <w:bottom w:val="none" w:sz="0" w:space="0" w:color="auto"/>
        <w:right w:val="none" w:sz="0" w:space="0" w:color="auto"/>
      </w:divBdr>
    </w:div>
    <w:div w:id="407656959">
      <w:bodyDiv w:val="1"/>
      <w:marLeft w:val="0"/>
      <w:marRight w:val="0"/>
      <w:marTop w:val="0"/>
      <w:marBottom w:val="0"/>
      <w:divBdr>
        <w:top w:val="none" w:sz="0" w:space="0" w:color="auto"/>
        <w:left w:val="none" w:sz="0" w:space="0" w:color="auto"/>
        <w:bottom w:val="none" w:sz="0" w:space="0" w:color="auto"/>
        <w:right w:val="none" w:sz="0" w:space="0" w:color="auto"/>
      </w:divBdr>
    </w:div>
    <w:div w:id="686522170">
      <w:bodyDiv w:val="1"/>
      <w:marLeft w:val="0"/>
      <w:marRight w:val="0"/>
      <w:marTop w:val="0"/>
      <w:marBottom w:val="0"/>
      <w:divBdr>
        <w:top w:val="none" w:sz="0" w:space="0" w:color="auto"/>
        <w:left w:val="none" w:sz="0" w:space="0" w:color="auto"/>
        <w:bottom w:val="none" w:sz="0" w:space="0" w:color="auto"/>
        <w:right w:val="none" w:sz="0" w:space="0" w:color="auto"/>
      </w:divBdr>
    </w:div>
    <w:div w:id="866410803">
      <w:bodyDiv w:val="1"/>
      <w:marLeft w:val="0"/>
      <w:marRight w:val="0"/>
      <w:marTop w:val="0"/>
      <w:marBottom w:val="0"/>
      <w:divBdr>
        <w:top w:val="none" w:sz="0" w:space="0" w:color="auto"/>
        <w:left w:val="none" w:sz="0" w:space="0" w:color="auto"/>
        <w:bottom w:val="none" w:sz="0" w:space="0" w:color="auto"/>
        <w:right w:val="none" w:sz="0" w:space="0" w:color="auto"/>
      </w:divBdr>
    </w:div>
    <w:div w:id="1038092325">
      <w:bodyDiv w:val="1"/>
      <w:marLeft w:val="0"/>
      <w:marRight w:val="0"/>
      <w:marTop w:val="0"/>
      <w:marBottom w:val="0"/>
      <w:divBdr>
        <w:top w:val="none" w:sz="0" w:space="0" w:color="auto"/>
        <w:left w:val="none" w:sz="0" w:space="0" w:color="auto"/>
        <w:bottom w:val="none" w:sz="0" w:space="0" w:color="auto"/>
        <w:right w:val="none" w:sz="0" w:space="0" w:color="auto"/>
      </w:divBdr>
    </w:div>
    <w:div w:id="1139692473">
      <w:bodyDiv w:val="1"/>
      <w:marLeft w:val="0"/>
      <w:marRight w:val="0"/>
      <w:marTop w:val="0"/>
      <w:marBottom w:val="0"/>
      <w:divBdr>
        <w:top w:val="none" w:sz="0" w:space="0" w:color="auto"/>
        <w:left w:val="none" w:sz="0" w:space="0" w:color="auto"/>
        <w:bottom w:val="none" w:sz="0" w:space="0" w:color="auto"/>
        <w:right w:val="none" w:sz="0" w:space="0" w:color="auto"/>
      </w:divBdr>
    </w:div>
    <w:div w:id="1271158379">
      <w:bodyDiv w:val="1"/>
      <w:marLeft w:val="0"/>
      <w:marRight w:val="0"/>
      <w:marTop w:val="0"/>
      <w:marBottom w:val="0"/>
      <w:divBdr>
        <w:top w:val="none" w:sz="0" w:space="0" w:color="auto"/>
        <w:left w:val="none" w:sz="0" w:space="0" w:color="auto"/>
        <w:bottom w:val="none" w:sz="0" w:space="0" w:color="auto"/>
        <w:right w:val="none" w:sz="0" w:space="0" w:color="auto"/>
      </w:divBdr>
    </w:div>
    <w:div w:id="1395928706">
      <w:bodyDiv w:val="1"/>
      <w:marLeft w:val="0"/>
      <w:marRight w:val="0"/>
      <w:marTop w:val="0"/>
      <w:marBottom w:val="0"/>
      <w:divBdr>
        <w:top w:val="none" w:sz="0" w:space="0" w:color="auto"/>
        <w:left w:val="none" w:sz="0" w:space="0" w:color="auto"/>
        <w:bottom w:val="none" w:sz="0" w:space="0" w:color="auto"/>
        <w:right w:val="none" w:sz="0" w:space="0" w:color="auto"/>
      </w:divBdr>
    </w:div>
    <w:div w:id="1933735881">
      <w:bodyDiv w:val="1"/>
      <w:marLeft w:val="0"/>
      <w:marRight w:val="0"/>
      <w:marTop w:val="0"/>
      <w:marBottom w:val="0"/>
      <w:divBdr>
        <w:top w:val="none" w:sz="0" w:space="0" w:color="auto"/>
        <w:left w:val="none" w:sz="0" w:space="0" w:color="auto"/>
        <w:bottom w:val="none" w:sz="0" w:space="0" w:color="auto"/>
        <w:right w:val="none" w:sz="0" w:space="0" w:color="auto"/>
      </w:divBdr>
    </w:div>
    <w:div w:id="1982268650">
      <w:bodyDiv w:val="1"/>
      <w:marLeft w:val="0"/>
      <w:marRight w:val="0"/>
      <w:marTop w:val="0"/>
      <w:marBottom w:val="0"/>
      <w:divBdr>
        <w:top w:val="none" w:sz="0" w:space="0" w:color="auto"/>
        <w:left w:val="none" w:sz="0" w:space="0" w:color="auto"/>
        <w:bottom w:val="none" w:sz="0" w:space="0" w:color="auto"/>
        <w:right w:val="none" w:sz="0" w:space="0" w:color="auto"/>
      </w:divBdr>
    </w:div>
    <w:div w:id="214592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A0C16-9052-4AA3-9B1F-323A975E5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Cumbria Constabulary</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Stables, Stephanie</dc:creator>
  <cp:keywords/>
  <dc:description/>
  <cp:lastModifiedBy>Abram, Peter</cp:lastModifiedBy>
  <cp:revision>13</cp:revision>
  <dcterms:created xsi:type="dcterms:W3CDTF">2023-07-19T09:47:00Z</dcterms:created>
  <dcterms:modified xsi:type="dcterms:W3CDTF">2023-08-30T09:58:00Z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fec6b3-91e0-4cb4-97f0-3b695e194c32_Enabled">
    <vt:lpwstr>true</vt:lpwstr>
  </property>
  <property fmtid="{D5CDD505-2E9C-101B-9397-08002B2CF9AE}" pid="3" name="MSIP_Label_b4fec6b3-91e0-4cb4-97f0-3b695e194c32_SetDate">
    <vt:lpwstr>2021-11-03T13:30:36Z</vt:lpwstr>
  </property>
  <property fmtid="{D5CDD505-2E9C-101B-9397-08002B2CF9AE}" pid="4" name="MSIP_Label_b4fec6b3-91e0-4cb4-97f0-3b695e194c32_Method">
    <vt:lpwstr>Standard</vt:lpwstr>
  </property>
  <property fmtid="{D5CDD505-2E9C-101B-9397-08002B2CF9AE}" pid="5" name="MSIP_Label_b4fec6b3-91e0-4cb4-97f0-3b695e194c32_Name">
    <vt:lpwstr>b4fec6b3-91e0-4cb4-97f0-3b695e194c32</vt:lpwstr>
  </property>
  <property fmtid="{D5CDD505-2E9C-101B-9397-08002B2CF9AE}" pid="6" name="MSIP_Label_b4fec6b3-91e0-4cb4-97f0-3b695e194c32_SiteId">
    <vt:lpwstr>7ea6412d-a887-4942-951c-cd722827b11a</vt:lpwstr>
  </property>
  <property fmtid="{D5CDD505-2E9C-101B-9397-08002B2CF9AE}" pid="7" name="MSIP_Label_b4fec6b3-91e0-4cb4-97f0-3b695e194c32_ActionId">
    <vt:lpwstr>f004378a-ed93-4a91-8b58-c9b437292b10</vt:lpwstr>
  </property>
  <property fmtid="{D5CDD505-2E9C-101B-9397-08002B2CF9AE}" pid="8" name="MSIP_Label_b4fec6b3-91e0-4cb4-97f0-3b695e194c32_ContentBits">
    <vt:lpwstr>0</vt:lpwstr>
  </property>
</Properties>
</file>